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09563C" w:rsidRDefault="002646B0" w:rsidP="0009563C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от </w:t>
      </w:r>
      <w:r w:rsidR="00341412">
        <w:rPr>
          <w:sz w:val="22"/>
          <w:szCs w:val="22"/>
        </w:rPr>
        <w:t>29.10.</w:t>
      </w:r>
      <w:r w:rsidR="008C56F6">
        <w:rPr>
          <w:sz w:val="22"/>
          <w:szCs w:val="22"/>
        </w:rPr>
        <w:t>2019 г. №</w:t>
      </w:r>
      <w:r w:rsidR="00341412">
        <w:rPr>
          <w:sz w:val="22"/>
          <w:szCs w:val="22"/>
        </w:rPr>
        <w:t>3028</w:t>
      </w:r>
      <w:r w:rsidR="00570D5A"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6F06F7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</w:t>
      </w:r>
      <w:r w:rsidR="008C56F6">
        <w:rPr>
          <w:sz w:val="22"/>
          <w:szCs w:val="22"/>
        </w:rPr>
        <w:t>ого</w:t>
      </w:r>
      <w:r w:rsidR="003F4384">
        <w:rPr>
          <w:sz w:val="22"/>
          <w:szCs w:val="22"/>
        </w:rPr>
        <w:t xml:space="preserve"> участк</w:t>
      </w:r>
      <w:r w:rsidR="008C56F6">
        <w:rPr>
          <w:sz w:val="22"/>
          <w:szCs w:val="22"/>
        </w:rPr>
        <w:t>а</w:t>
      </w:r>
      <w:r w:rsidR="006F06F7">
        <w:rPr>
          <w:sz w:val="22"/>
          <w:szCs w:val="22"/>
        </w:rPr>
        <w:t>»</w:t>
      </w:r>
      <w:r w:rsidR="003F4384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E352B5" w:rsidRDefault="00442174" w:rsidP="00DB2798">
      <w:pPr>
        <w:ind w:firstLine="567"/>
        <w:rPr>
          <w:sz w:val="22"/>
        </w:rPr>
      </w:pPr>
      <w:r w:rsidRPr="00E352B5">
        <w:rPr>
          <w:b/>
          <w:sz w:val="22"/>
        </w:rPr>
        <w:t>Лот №1</w:t>
      </w:r>
      <w:r w:rsidRPr="00E352B5">
        <w:rPr>
          <w:sz w:val="22"/>
        </w:rPr>
        <w:t xml:space="preserve"> - </w:t>
      </w:r>
      <w:r w:rsidR="00DB2798" w:rsidRPr="008C56F6">
        <w:rPr>
          <w:iCs/>
          <w:sz w:val="22"/>
        </w:rPr>
        <w:t>право заключения договора аренды сроком</w:t>
      </w:r>
      <w:r w:rsidR="00DB2798" w:rsidRPr="00E352B5">
        <w:rPr>
          <w:i/>
          <w:sz w:val="22"/>
        </w:rPr>
        <w:t xml:space="preserve"> </w:t>
      </w:r>
      <w:r w:rsidR="00DB2798" w:rsidRPr="00E352B5">
        <w:rPr>
          <w:sz w:val="22"/>
        </w:rPr>
        <w:t xml:space="preserve">на </w:t>
      </w:r>
      <w:r w:rsidR="00705BDF" w:rsidRPr="00E352B5">
        <w:rPr>
          <w:sz w:val="22"/>
        </w:rPr>
        <w:t>10</w:t>
      </w:r>
      <w:r w:rsidR="00B51A06" w:rsidRPr="00E352B5">
        <w:rPr>
          <w:sz w:val="22"/>
        </w:rPr>
        <w:t xml:space="preserve"> (д</w:t>
      </w:r>
      <w:r w:rsidR="00705BDF" w:rsidRPr="00E352B5">
        <w:rPr>
          <w:sz w:val="22"/>
        </w:rPr>
        <w:t>есять</w:t>
      </w:r>
      <w:r w:rsidR="00DB2798" w:rsidRPr="00E352B5">
        <w:rPr>
          <w:sz w:val="22"/>
        </w:rPr>
        <w:t xml:space="preserve">) лет на </w:t>
      </w:r>
      <w:r w:rsidR="00EB744B" w:rsidRPr="00EB744B">
        <w:rPr>
          <w:sz w:val="22"/>
        </w:rPr>
        <w:t>земельн</w:t>
      </w:r>
      <w:r w:rsidR="00EB744B">
        <w:rPr>
          <w:sz w:val="22"/>
        </w:rPr>
        <w:t>ый</w:t>
      </w:r>
      <w:r w:rsidR="00EB744B" w:rsidRPr="00EB744B">
        <w:rPr>
          <w:sz w:val="22"/>
        </w:rPr>
        <w:t xml:space="preserve"> </w:t>
      </w:r>
      <w:r w:rsidR="00B2603C" w:rsidRPr="00EB744B">
        <w:rPr>
          <w:sz w:val="22"/>
        </w:rPr>
        <w:t>участо</w:t>
      </w:r>
      <w:r w:rsidR="00B2603C">
        <w:rPr>
          <w:sz w:val="22"/>
        </w:rPr>
        <w:t>к</w:t>
      </w:r>
      <w:r w:rsidR="00EB744B" w:rsidRPr="00EB744B">
        <w:rPr>
          <w:sz w:val="22"/>
        </w:rPr>
        <w:t>, отнесенн</w:t>
      </w:r>
      <w:r w:rsidR="00EB744B">
        <w:rPr>
          <w:sz w:val="22"/>
        </w:rPr>
        <w:t>ый</w:t>
      </w:r>
      <w:r w:rsidR="00EB744B" w:rsidRPr="00EB744B">
        <w:rPr>
          <w:sz w:val="22"/>
        </w:rPr>
        <w:t xml:space="preserve"> к землям населенных пунктов, площадью 3835 </w:t>
      </w:r>
      <w:proofErr w:type="spellStart"/>
      <w:r w:rsidR="00EB744B" w:rsidRPr="00EB744B">
        <w:rPr>
          <w:sz w:val="22"/>
        </w:rPr>
        <w:t>кв.м</w:t>
      </w:r>
      <w:proofErr w:type="spellEnd"/>
      <w:r w:rsidR="00EB744B" w:rsidRPr="00EB744B">
        <w:rPr>
          <w:sz w:val="22"/>
        </w:rPr>
        <w:t>., для спорта, с кадастровым номером 63:03:0301020:692, расположенн</w:t>
      </w:r>
      <w:r w:rsidR="00B2603C">
        <w:rPr>
          <w:sz w:val="22"/>
        </w:rPr>
        <w:t>ый</w:t>
      </w:r>
      <w:r w:rsidR="00EB744B" w:rsidRPr="00EB744B">
        <w:rPr>
          <w:sz w:val="22"/>
        </w:rPr>
        <w:t xml:space="preserve"> по адресу: </w:t>
      </w:r>
      <w:r w:rsidR="00EB744B" w:rsidRPr="00EB744B">
        <w:rPr>
          <w:b/>
          <w:bCs/>
          <w:sz w:val="22"/>
        </w:rPr>
        <w:t xml:space="preserve">Самарская область, </w:t>
      </w:r>
      <w:proofErr w:type="spellStart"/>
      <w:r w:rsidR="00EB744B" w:rsidRPr="00EB744B">
        <w:rPr>
          <w:b/>
          <w:bCs/>
          <w:sz w:val="22"/>
        </w:rPr>
        <w:t>г.о.Кинель</w:t>
      </w:r>
      <w:proofErr w:type="spellEnd"/>
      <w:r w:rsidR="00EB744B" w:rsidRPr="00EB744B">
        <w:rPr>
          <w:b/>
          <w:bCs/>
          <w:sz w:val="22"/>
        </w:rPr>
        <w:t xml:space="preserve">, </w:t>
      </w:r>
      <w:proofErr w:type="spellStart"/>
      <w:r w:rsidR="00EB744B" w:rsidRPr="00EB744B">
        <w:rPr>
          <w:b/>
          <w:bCs/>
          <w:sz w:val="22"/>
        </w:rPr>
        <w:t>п.г.т.Усть</w:t>
      </w:r>
      <w:proofErr w:type="spellEnd"/>
      <w:r w:rsidR="00EB744B" w:rsidRPr="00EB744B">
        <w:rPr>
          <w:b/>
          <w:bCs/>
          <w:sz w:val="22"/>
        </w:rPr>
        <w:t xml:space="preserve">-Кинельский, </w:t>
      </w:r>
      <w:proofErr w:type="spellStart"/>
      <w:r w:rsidR="00EB744B" w:rsidRPr="00EB744B">
        <w:rPr>
          <w:b/>
          <w:bCs/>
          <w:sz w:val="22"/>
        </w:rPr>
        <w:t>ул.Спортивная</w:t>
      </w:r>
      <w:proofErr w:type="spellEnd"/>
      <w:r w:rsidR="00EB744B" w:rsidRPr="00EB744B">
        <w:rPr>
          <w:b/>
          <w:bCs/>
          <w:sz w:val="22"/>
        </w:rPr>
        <w:t>, з/у № 5К</w:t>
      </w:r>
      <w:r w:rsidR="00EB744B" w:rsidRPr="00EB744B">
        <w:rPr>
          <w:sz w:val="22"/>
        </w:rPr>
        <w:t xml:space="preserve"> </w:t>
      </w:r>
      <w:r w:rsidR="00DB2798" w:rsidRPr="00E352B5">
        <w:rPr>
          <w:sz w:val="22"/>
        </w:rPr>
        <w:t xml:space="preserve"> начальная цена ежегодной арендной платы </w:t>
      </w:r>
      <w:r w:rsidR="00011BE4" w:rsidRPr="00011BE4">
        <w:rPr>
          <w:sz w:val="22"/>
        </w:rPr>
        <w:t xml:space="preserve">составляет </w:t>
      </w:r>
      <w:r w:rsidR="00EB744B">
        <w:rPr>
          <w:sz w:val="22"/>
        </w:rPr>
        <w:t>426 200</w:t>
      </w:r>
      <w:r w:rsidR="00011BE4" w:rsidRPr="00011BE4">
        <w:rPr>
          <w:sz w:val="22"/>
        </w:rPr>
        <w:t xml:space="preserve"> руб</w:t>
      </w:r>
      <w:r w:rsidR="00EB744B">
        <w:rPr>
          <w:sz w:val="22"/>
        </w:rPr>
        <w:t>.</w:t>
      </w:r>
      <w:r w:rsidR="00DB2798" w:rsidRPr="00E352B5">
        <w:rPr>
          <w:sz w:val="22"/>
        </w:rPr>
        <w:t xml:space="preserve">, шаг </w:t>
      </w:r>
      <w:r w:rsidR="00EB744B">
        <w:rPr>
          <w:sz w:val="22"/>
        </w:rPr>
        <w:t>12 700</w:t>
      </w:r>
      <w:r w:rsidR="00B51A06" w:rsidRPr="00E352B5">
        <w:rPr>
          <w:sz w:val="22"/>
        </w:rPr>
        <w:t xml:space="preserve"> </w:t>
      </w:r>
      <w:r w:rsidR="00DB2798" w:rsidRPr="00E352B5">
        <w:rPr>
          <w:sz w:val="22"/>
        </w:rPr>
        <w:t xml:space="preserve">руб., задаток </w:t>
      </w:r>
      <w:r w:rsidR="00EB744B">
        <w:rPr>
          <w:sz w:val="22"/>
        </w:rPr>
        <w:t>213 100</w:t>
      </w:r>
      <w:r w:rsidR="00B51A06" w:rsidRPr="00E352B5">
        <w:rPr>
          <w:sz w:val="22"/>
        </w:rPr>
        <w:t xml:space="preserve"> </w:t>
      </w:r>
      <w:r w:rsidR="00DB2798" w:rsidRPr="00E352B5">
        <w:rPr>
          <w:sz w:val="22"/>
        </w:rPr>
        <w:t xml:space="preserve">руб.  </w:t>
      </w:r>
    </w:p>
    <w:p w:rsidR="00BA76CC" w:rsidRPr="00E352B5" w:rsidRDefault="00DB2798" w:rsidP="00BA76CC">
      <w:pPr>
        <w:ind w:firstLine="631"/>
        <w:rPr>
          <w:sz w:val="22"/>
        </w:rPr>
      </w:pPr>
      <w:r w:rsidRPr="00E352B5">
        <w:rPr>
          <w:sz w:val="22"/>
        </w:rPr>
        <w:t>Обременения (ограничения) использования земельного участка</w:t>
      </w:r>
      <w:r w:rsidR="00BA76CC" w:rsidRPr="00E352B5">
        <w:rPr>
          <w:sz w:val="22"/>
        </w:rPr>
        <w:t xml:space="preserve">: </w:t>
      </w:r>
      <w:r w:rsidR="0003768F">
        <w:rPr>
          <w:sz w:val="22"/>
        </w:rPr>
        <w:t xml:space="preserve">в отношении части земельного участка общей площадью 2374,68 </w:t>
      </w:r>
      <w:proofErr w:type="spellStart"/>
      <w:r w:rsidR="0003768F">
        <w:rPr>
          <w:sz w:val="22"/>
        </w:rPr>
        <w:t>кв.м</w:t>
      </w:r>
      <w:proofErr w:type="spellEnd"/>
      <w:r w:rsidR="0003768F">
        <w:rPr>
          <w:sz w:val="22"/>
        </w:rPr>
        <w:t>. установлены о</w:t>
      </w:r>
      <w:r w:rsidR="0003768F" w:rsidRPr="0003768F">
        <w:rPr>
          <w:sz w:val="22"/>
        </w:rPr>
        <w:t>граничения прав на земельный участок, предусмотренные статьями 56, 56.1 Земельного кодекса РФ</w:t>
      </w:r>
      <w:r w:rsidR="0003768F">
        <w:rPr>
          <w:sz w:val="22"/>
        </w:rPr>
        <w:t>.</w:t>
      </w:r>
      <w:r w:rsidR="00EB744B">
        <w:rPr>
          <w:sz w:val="22"/>
        </w:rPr>
        <w:t xml:space="preserve"> </w:t>
      </w:r>
      <w:bookmarkStart w:id="0" w:name="_GoBack"/>
      <w:bookmarkEnd w:id="0"/>
    </w:p>
    <w:p w:rsidR="00DB2798" w:rsidRPr="00E352B5" w:rsidRDefault="00DB2798" w:rsidP="00DB2798">
      <w:pPr>
        <w:ind w:firstLine="631"/>
        <w:rPr>
          <w:sz w:val="22"/>
        </w:rPr>
      </w:pPr>
      <w:r w:rsidRPr="00E352B5">
        <w:rPr>
          <w:sz w:val="22"/>
        </w:rPr>
        <w:t>Информация о правах на земельный участок: земельный участок относится к землям</w:t>
      </w:r>
      <w:r w:rsidR="00705BDF" w:rsidRPr="00E352B5">
        <w:rPr>
          <w:sz w:val="22"/>
        </w:rPr>
        <w:t>,</w:t>
      </w:r>
      <w:r w:rsidRPr="00E352B5">
        <w:rPr>
          <w:sz w:val="22"/>
        </w:rPr>
        <w:t xml:space="preserve"> государственная собственность на который не разграничена.</w:t>
      </w:r>
    </w:p>
    <w:p w:rsidR="000B396F" w:rsidRPr="000D4DEB" w:rsidRDefault="009F1CD2" w:rsidP="00011BE4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A91952">
        <w:rPr>
          <w:sz w:val="22"/>
        </w:rPr>
        <w:t xml:space="preserve"> Л</w:t>
      </w:r>
      <w:r w:rsidR="00705BDF">
        <w:rPr>
          <w:sz w:val="22"/>
        </w:rPr>
        <w:t>от</w:t>
      </w:r>
      <w:r w:rsidR="00A91952">
        <w:rPr>
          <w:sz w:val="22"/>
        </w:rPr>
        <w:t xml:space="preserve"> №1</w:t>
      </w:r>
    </w:p>
    <w:tbl>
      <w:tblPr>
        <w:tblW w:w="9977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9F1CD2" w:rsidRPr="000D4DEB" w:rsidTr="002D1BC6">
        <w:trPr>
          <w:tblCellSpacing w:w="0" w:type="dxa"/>
        </w:trPr>
        <w:tc>
          <w:tcPr>
            <w:tcW w:w="9977" w:type="dxa"/>
            <w:vAlign w:val="center"/>
            <w:hideMark/>
          </w:tcPr>
          <w:p w:rsidR="00C738E7" w:rsidRPr="000D4DEB" w:rsidRDefault="00C738E7" w:rsidP="00C738E7">
            <w:pPr>
              <w:ind w:firstLine="426"/>
              <w:rPr>
                <w:sz w:val="22"/>
              </w:rPr>
            </w:pPr>
          </w:p>
          <w:tbl>
            <w:tblPr>
              <w:tblW w:w="9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7"/>
              <w:gridCol w:w="6359"/>
              <w:gridCol w:w="2453"/>
            </w:tblGrid>
            <w:tr w:rsidR="00AC01B7" w:rsidRPr="00165D8F" w:rsidTr="00AC01B7">
              <w:trPr>
                <w:tblHeader/>
              </w:trPr>
              <w:tc>
                <w:tcPr>
                  <w:tcW w:w="9559" w:type="dxa"/>
                  <w:gridSpan w:val="3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AC01B7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строительства в территориальной зоне О-1</w:t>
                  </w:r>
                </w:p>
              </w:tc>
            </w:tr>
            <w:tr w:rsidR="00AC01B7" w:rsidRPr="00165D8F" w:rsidTr="00AC01B7">
              <w:trPr>
                <w:tblHeader/>
              </w:trPr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AC01B7">
                    <w:rPr>
                      <w:b/>
                      <w:sz w:val="22"/>
                    </w:rPr>
                    <w:t>№ п/п</w:t>
                  </w: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AC01B7">
                    <w:rPr>
                      <w:b/>
                      <w:sz w:val="22"/>
                    </w:rPr>
                    <w:t>Наименование параметра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Значение 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812" w:type="dxa"/>
                  <w:gridSpan w:val="2"/>
                  <w:shd w:val="clear" w:color="auto" w:fill="D9D9D9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Предельное количество этажей, предельная высота зданий, строений, сооружений</w:t>
                  </w:r>
                </w:p>
              </w:tc>
            </w:tr>
            <w:tr w:rsidR="00AC01B7" w:rsidRPr="00165D8F" w:rsidTr="00AC01B7">
              <w:trPr>
                <w:trHeight w:val="497"/>
              </w:trPr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Максимальное количество этажей, шт.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22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Минимальная высота здания,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15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Максимальная высота зданий,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66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812" w:type="dxa"/>
                  <w:gridSpan w:val="2"/>
                  <w:shd w:val="clear" w:color="auto" w:fill="D9D9D9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Минимальный отступ от границ земельных участков до отдельно стоящих зданий,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1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Минимальный отступ от границ земельных участков до</w:t>
                  </w:r>
                  <w:r w:rsidRPr="00AC01B7">
                    <w:rPr>
                      <w:sz w:val="22"/>
                    </w:rPr>
                    <w:t>школьных образовательных учреждений и объектов начального общего и среднего (полного) общего образования</w:t>
                  </w:r>
                  <w:r w:rsidRPr="00AC01B7">
                    <w:rPr>
                      <w:rFonts w:eastAsia="MS MinNew Roman"/>
                      <w:bCs/>
                      <w:sz w:val="22"/>
                    </w:rPr>
                    <w:t>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10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3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Минимальный отступ зданий, строений, сооружений от красных линий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5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812" w:type="dxa"/>
                  <w:gridSpan w:val="2"/>
                  <w:shd w:val="clear" w:color="auto" w:fill="D9D9D9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outlineLvl w:val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Максимальный процент застройки в границах земельного участка для индивидуальной жилой застройки, %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outlineLvl w:val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Максимальный процент застройки в границах земельного участка для блокированной жилой застройки (два блока), %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Максимальный процент застройки в границах земельного участка для блокированной жилой застройки (более двух блоков), %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sz w:val="22"/>
                    </w:rPr>
                  </w:pPr>
                  <w:r w:rsidRPr="00AC01B7">
                    <w:rPr>
                      <w:rFonts w:eastAsia="MS MinNew Roman"/>
                      <w:sz w:val="22"/>
                    </w:rPr>
                    <w:t xml:space="preserve">Максимальный процент застройки в границах земельного участка для многоквартирной жилой застройки </w:t>
                  </w:r>
                  <w:r w:rsidRPr="00AC01B7">
                    <w:rPr>
                      <w:sz w:val="22"/>
                    </w:rPr>
                    <w:t>до пяти этажей (включительно)</w:t>
                  </w:r>
                  <w:r w:rsidRPr="00AC01B7">
                    <w:rPr>
                      <w:rFonts w:eastAsia="MS MinNew Roman"/>
                      <w:sz w:val="22"/>
                    </w:rPr>
                    <w:t>, %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sz w:val="22"/>
                    </w:rPr>
                  </w:pPr>
                  <w:r w:rsidRPr="00AC01B7">
                    <w:rPr>
                      <w:rFonts w:eastAsia="MS MinNew Roman"/>
                      <w:sz w:val="22"/>
                    </w:rPr>
                    <w:t xml:space="preserve">Максимальный процент застройки в границах земельного участка для </w:t>
                  </w:r>
                  <w:r w:rsidRPr="00AC01B7">
                    <w:rPr>
                      <w:rFonts w:eastAsia="MS MinNew Roman"/>
                      <w:bCs/>
                      <w:sz w:val="22"/>
                    </w:rPr>
                    <w:t>садовых домов, летних сооружений, садов, огородов, садово-огородных земельных участков, парников, оранжерей, теплиц</w:t>
                  </w:r>
                  <w:r w:rsidRPr="00AC01B7">
                    <w:rPr>
                      <w:rFonts w:eastAsia="MS MinNew Roman"/>
                      <w:sz w:val="22"/>
                    </w:rPr>
                    <w:t>, %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sz w:val="22"/>
                    </w:rPr>
                    <w:t xml:space="preserve">Максимальный процент застройки </w:t>
                  </w:r>
                  <w:r w:rsidRPr="00AC01B7">
                    <w:rPr>
                      <w:sz w:val="22"/>
                    </w:rPr>
                    <w:t xml:space="preserve">для размещения </w:t>
                  </w:r>
                  <w:r w:rsidRPr="00AC01B7">
                    <w:rPr>
                      <w:bCs/>
                      <w:sz w:val="22"/>
                    </w:rPr>
      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90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812" w:type="dxa"/>
                  <w:gridSpan w:val="2"/>
                  <w:shd w:val="clear" w:color="auto" w:fill="D9D9D9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Иные показатели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</w:tcPr>
                <w:p w:rsidR="00AC01B7" w:rsidRPr="00AC01B7" w:rsidRDefault="00AC01B7" w:rsidP="00AC01B7">
                  <w:pPr>
                    <w:ind w:firstLine="0"/>
                    <w:rPr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rPr>
                <w:trHeight w:val="786"/>
              </w:trPr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</w:tcPr>
                <w:p w:rsidR="00AC01B7" w:rsidRPr="00AC01B7" w:rsidRDefault="00AC01B7" w:rsidP="00AC01B7">
                  <w:pPr>
                    <w:ind w:firstLine="0"/>
                    <w:rPr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Минимальный отступ (бытовой разрыв) между зданиями многоквартирной жилой застройки,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Максимальное количество блоков в блокированной жилой застройке, шт.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Максимальная площадь встроенных и пристроенных помещений нежилого назначения, кв.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  <w:tr w:rsidR="00AC01B7" w:rsidRPr="00165D8F" w:rsidTr="00AC01B7">
              <w:trPr>
                <w:trHeight w:val="703"/>
              </w:trPr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2</w:t>
                  </w:r>
                </w:p>
              </w:tc>
            </w:tr>
            <w:tr w:rsidR="00AC01B7" w:rsidRPr="00165D8F" w:rsidTr="00AC01B7">
              <w:trPr>
                <w:trHeight w:val="703"/>
              </w:trPr>
              <w:tc>
                <w:tcPr>
                  <w:tcW w:w="747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59" w:type="dxa"/>
                  <w:shd w:val="clear" w:color="auto" w:fill="auto"/>
                </w:tcPr>
                <w:p w:rsidR="00AC01B7" w:rsidRPr="00AC01B7" w:rsidRDefault="00AC01B7" w:rsidP="00AC01B7">
                  <w:pPr>
                    <w:ind w:firstLine="0"/>
                    <w:rPr>
                      <w:rFonts w:eastAsia="MS MinNew Roman"/>
                      <w:bCs/>
                      <w:sz w:val="22"/>
                    </w:rPr>
                  </w:pPr>
                  <w:r w:rsidRPr="00AC01B7">
                    <w:rPr>
                      <w:rFonts w:eastAsia="MS MinNew Roman"/>
                      <w:bCs/>
                      <w:sz w:val="22"/>
                    </w:rPr>
                    <w:t>Минимальная глубина участка (п - ширина жилой секции), м</w:t>
                  </w:r>
                </w:p>
              </w:tc>
              <w:tc>
                <w:tcPr>
                  <w:tcW w:w="2453" w:type="dxa"/>
                  <w:shd w:val="clear" w:color="auto" w:fill="auto"/>
                  <w:vAlign w:val="center"/>
                </w:tcPr>
                <w:p w:rsidR="00AC01B7" w:rsidRPr="00AC01B7" w:rsidRDefault="00AC01B7" w:rsidP="00AC01B7">
                  <w:pPr>
                    <w:ind w:firstLine="0"/>
                    <w:jc w:val="center"/>
                    <w:rPr>
                      <w:sz w:val="22"/>
                    </w:rPr>
                  </w:pPr>
                  <w:r w:rsidRPr="00AC01B7">
                    <w:rPr>
                      <w:sz w:val="22"/>
                    </w:rPr>
                    <w:t>-</w:t>
                  </w:r>
                </w:p>
              </w:tc>
            </w:tr>
          </w:tbl>
          <w:p w:rsidR="00C738E7" w:rsidRDefault="00C738E7" w:rsidP="00C738E7">
            <w:pPr>
              <w:ind w:firstLine="631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A03A15" w:rsidRPr="00A03A15" w:rsidRDefault="00A03A15" w:rsidP="00A03A15">
            <w:pPr>
              <w:rPr>
                <w:b/>
                <w:sz w:val="22"/>
              </w:rPr>
            </w:pPr>
            <w:r w:rsidRPr="00A03A15">
              <w:rPr>
                <w:b/>
                <w:sz w:val="22"/>
              </w:rPr>
              <w:t>По газоснабжению: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>Лот №1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>1. Максимальный часовой расход газа: до 15 м3;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>2. Стоимость платы за технологическое присоединение – 55,179 тыс. руб.;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>4. Срок действия – 3 года.</w:t>
            </w:r>
          </w:p>
          <w:p w:rsidR="00A03A15" w:rsidRPr="00A03A15" w:rsidRDefault="00A03A15" w:rsidP="00A03A15">
            <w:pPr>
              <w:rPr>
                <w:b/>
                <w:sz w:val="22"/>
              </w:rPr>
            </w:pPr>
            <w:r w:rsidRPr="00A03A15">
              <w:rPr>
                <w:b/>
                <w:sz w:val="22"/>
              </w:rPr>
              <w:t>По электроснабжению: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>Лот №1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A03A15" w:rsidRPr="00A03A15" w:rsidRDefault="00A03A15" w:rsidP="00A03A15">
            <w:pPr>
              <w:rPr>
                <w:bCs/>
                <w:sz w:val="22"/>
              </w:rPr>
            </w:pPr>
            <w:r w:rsidRPr="00A03A15">
              <w:rPr>
                <w:bCs/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</w:t>
            </w:r>
            <w:r w:rsidRPr="00A03A15">
              <w:rPr>
                <w:bCs/>
                <w:sz w:val="22"/>
              </w:rPr>
              <w:lastRenderedPageBreak/>
              <w:t xml:space="preserve">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A03A15" w:rsidRPr="00A03A15" w:rsidRDefault="00A03A15" w:rsidP="00A03A15">
            <w:pPr>
              <w:rPr>
                <w:b/>
                <w:sz w:val="22"/>
              </w:rPr>
            </w:pPr>
            <w:r w:rsidRPr="00A03A15">
              <w:rPr>
                <w:bCs/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27.12.2018 г. №990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A03A15" w:rsidRPr="00A03A15" w:rsidRDefault="00A03A15" w:rsidP="00A03A15">
            <w:pPr>
              <w:rPr>
                <w:b/>
                <w:sz w:val="22"/>
              </w:rPr>
            </w:pPr>
            <w:r w:rsidRPr="00A03A15">
              <w:rPr>
                <w:b/>
                <w:sz w:val="22"/>
              </w:rPr>
              <w:t>Водопровод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Лот №1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 xml:space="preserve">1. Точку подключения определить проектом от центрального водопровода по </w:t>
            </w:r>
            <w:proofErr w:type="spellStart"/>
            <w:r w:rsidRPr="00B2603C">
              <w:rPr>
                <w:bCs/>
                <w:sz w:val="22"/>
              </w:rPr>
              <w:t>ул.Спортивная</w:t>
            </w:r>
            <w:proofErr w:type="spellEnd"/>
            <w:r w:rsidRPr="00B2603C">
              <w:rPr>
                <w:bCs/>
                <w:sz w:val="22"/>
              </w:rPr>
              <w:t xml:space="preserve"> </w:t>
            </w:r>
            <w:proofErr w:type="spellStart"/>
            <w:proofErr w:type="gramStart"/>
            <w:r w:rsidRPr="00B2603C">
              <w:rPr>
                <w:bCs/>
                <w:sz w:val="22"/>
              </w:rPr>
              <w:t>пгт.Усть</w:t>
            </w:r>
            <w:proofErr w:type="spellEnd"/>
            <w:proofErr w:type="gramEnd"/>
            <w:r w:rsidRPr="00B2603C">
              <w:rPr>
                <w:bCs/>
                <w:sz w:val="22"/>
              </w:rPr>
              <w:t xml:space="preserve">-Кинельский </w:t>
            </w:r>
            <w:proofErr w:type="spellStart"/>
            <w:r w:rsidRPr="00B2603C">
              <w:rPr>
                <w:bCs/>
                <w:sz w:val="22"/>
              </w:rPr>
              <w:t>г.Кинель</w:t>
            </w:r>
            <w:proofErr w:type="spellEnd"/>
            <w:r w:rsidRPr="00B2603C">
              <w:rPr>
                <w:bCs/>
                <w:sz w:val="22"/>
              </w:rPr>
              <w:t>.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2. Водопровод в здание проложить полиэтиленовой трубой, врезка в центральный водопровод диаметром 15</w:t>
            </w:r>
            <w:r w:rsidR="0016151C">
              <w:rPr>
                <w:bCs/>
                <w:sz w:val="22"/>
              </w:rPr>
              <w:t xml:space="preserve">0 </w:t>
            </w:r>
            <w:r w:rsidRPr="00B2603C">
              <w:rPr>
                <w:bCs/>
                <w:sz w:val="22"/>
              </w:rPr>
              <w:t>мм.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3. На месте врезки предусмотреть колодец диаметром 1м. из ж\б колец.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4. Произвести гидроизоляцию колодца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5. В колодце разместить водомерный узел.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 xml:space="preserve">6. Работы по прокладке водопровода должны быть </w:t>
            </w:r>
            <w:r w:rsidR="00B2603C" w:rsidRPr="00B2603C">
              <w:rPr>
                <w:bCs/>
                <w:sz w:val="22"/>
              </w:rPr>
              <w:t>выполнены</w:t>
            </w:r>
            <w:r w:rsidRPr="00B2603C">
              <w:rPr>
                <w:bCs/>
                <w:sz w:val="22"/>
              </w:rPr>
              <w:t xml:space="preserve"> специализированной организацией.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7. Врезка в существующие сети производится силами МУП «</w:t>
            </w:r>
            <w:proofErr w:type="spellStart"/>
            <w:r w:rsidRPr="00B2603C">
              <w:rPr>
                <w:bCs/>
                <w:sz w:val="22"/>
              </w:rPr>
              <w:t>АККПиБ</w:t>
            </w:r>
            <w:proofErr w:type="spellEnd"/>
            <w:r w:rsidRPr="00B2603C">
              <w:rPr>
                <w:bCs/>
                <w:sz w:val="22"/>
              </w:rPr>
              <w:t>».</w:t>
            </w:r>
          </w:p>
          <w:p w:rsidR="00A03A15" w:rsidRPr="0003768F" w:rsidRDefault="00A03A15" w:rsidP="00A03A15">
            <w:pPr>
              <w:rPr>
                <w:b/>
                <w:sz w:val="22"/>
              </w:rPr>
            </w:pPr>
            <w:r w:rsidRPr="0003768F">
              <w:rPr>
                <w:b/>
                <w:sz w:val="22"/>
              </w:rPr>
              <w:t>Канализация</w:t>
            </w:r>
          </w:p>
          <w:p w:rsidR="00A03A15" w:rsidRPr="00B2603C" w:rsidRDefault="00A03A15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Лот №1</w:t>
            </w:r>
          </w:p>
          <w:p w:rsidR="00A03A15" w:rsidRPr="00B2603C" w:rsidRDefault="00B2603C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1</w:t>
            </w:r>
            <w:r w:rsidR="00A03A15" w:rsidRPr="00B2603C">
              <w:rPr>
                <w:bCs/>
                <w:sz w:val="22"/>
              </w:rPr>
              <w:t>.  Точку подключения к канализационным сетям определить проектом от существующей канализации.</w:t>
            </w:r>
          </w:p>
          <w:p w:rsidR="00A03A15" w:rsidRPr="00B2603C" w:rsidRDefault="00B2603C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2</w:t>
            </w:r>
            <w:r w:rsidR="00A03A15" w:rsidRPr="00B2603C">
              <w:rPr>
                <w:bCs/>
                <w:sz w:val="22"/>
              </w:rPr>
              <w:t>. В местах присоединения к канализационным сетям предусмотреть канализационный колодец из ж\б колец диаметром 1м.</w:t>
            </w:r>
          </w:p>
          <w:p w:rsidR="00A03A15" w:rsidRPr="00B2603C" w:rsidRDefault="00B2603C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3</w:t>
            </w:r>
            <w:r w:rsidR="00A03A15" w:rsidRPr="00B2603C">
              <w:rPr>
                <w:bCs/>
                <w:sz w:val="22"/>
              </w:rPr>
              <w:t>. Работы по прокладке инженерных сетей должны быть выполнены специализированной организацией.</w:t>
            </w:r>
          </w:p>
          <w:p w:rsidR="00A03A15" w:rsidRPr="00B2603C" w:rsidRDefault="00B2603C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4</w:t>
            </w:r>
            <w:r w:rsidR="00A03A15" w:rsidRPr="00B2603C">
              <w:rPr>
                <w:bCs/>
                <w:sz w:val="22"/>
              </w:rPr>
              <w:t>. Все работы производить после согласования с МУП «</w:t>
            </w:r>
            <w:proofErr w:type="spellStart"/>
            <w:r w:rsidR="00A03A15" w:rsidRPr="00B2603C">
              <w:rPr>
                <w:bCs/>
                <w:sz w:val="22"/>
              </w:rPr>
              <w:t>АККПиБ</w:t>
            </w:r>
            <w:proofErr w:type="spellEnd"/>
            <w:r w:rsidR="00A03A15" w:rsidRPr="00B2603C">
              <w:rPr>
                <w:bCs/>
                <w:sz w:val="22"/>
              </w:rPr>
              <w:t>» и при необходимости в присутствии его представителя.</w:t>
            </w:r>
          </w:p>
          <w:p w:rsidR="00A03A15" w:rsidRPr="00B2603C" w:rsidRDefault="00B2603C" w:rsidP="00A03A15">
            <w:pPr>
              <w:rPr>
                <w:bCs/>
                <w:sz w:val="22"/>
              </w:rPr>
            </w:pPr>
            <w:r w:rsidRPr="00B2603C">
              <w:rPr>
                <w:bCs/>
                <w:sz w:val="22"/>
              </w:rPr>
              <w:t>5</w:t>
            </w:r>
            <w:r w:rsidR="00A03A15" w:rsidRPr="00B2603C">
              <w:rPr>
                <w:bCs/>
                <w:sz w:val="22"/>
              </w:rPr>
              <w:t>. Врезка в существующие сети производится силами МУП «</w:t>
            </w:r>
            <w:proofErr w:type="spellStart"/>
            <w:r w:rsidR="00A03A15" w:rsidRPr="00B2603C">
              <w:rPr>
                <w:bCs/>
                <w:sz w:val="22"/>
              </w:rPr>
              <w:t>АККПиБ</w:t>
            </w:r>
            <w:proofErr w:type="spellEnd"/>
            <w:r w:rsidR="00A03A15" w:rsidRPr="00B2603C">
              <w:rPr>
                <w:bCs/>
                <w:sz w:val="22"/>
              </w:rPr>
              <w:t>».</w:t>
            </w:r>
          </w:p>
          <w:p w:rsidR="00B2603C" w:rsidRDefault="00B2603C" w:rsidP="00200E6E">
            <w:pPr>
              <w:rPr>
                <w:b/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      </w:r>
            <w:r w:rsidR="00631151">
              <w:rPr>
                <w:sz w:val="22"/>
              </w:rPr>
              <w:t xml:space="preserve">                                                 </w:t>
            </w:r>
            <w:r w:rsidRPr="000D4DEB">
              <w:rPr>
                <w:sz w:val="22"/>
              </w:rPr>
              <w:t xml:space="preserve">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</w:t>
            </w:r>
            <w:proofErr w:type="spellStart"/>
            <w:r w:rsidRPr="000D4DEB">
              <w:rPr>
                <w:sz w:val="22"/>
              </w:rPr>
              <w:t>г.Кинель</w:t>
            </w:r>
            <w:proofErr w:type="spellEnd"/>
            <w:r w:rsidRPr="000D4DEB">
              <w:rPr>
                <w:sz w:val="22"/>
              </w:rPr>
              <w:t xml:space="preserve">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916079">
              <w:rPr>
                <w:b/>
                <w:sz w:val="22"/>
              </w:rPr>
              <w:t xml:space="preserve">начиная с 09.00 часов </w:t>
            </w:r>
            <w:r w:rsidR="00B2603C">
              <w:rPr>
                <w:b/>
                <w:sz w:val="22"/>
              </w:rPr>
              <w:t>31</w:t>
            </w:r>
            <w:r w:rsidR="003F1640">
              <w:rPr>
                <w:b/>
                <w:sz w:val="22"/>
              </w:rPr>
              <w:t>.10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30FE9">
              <w:rPr>
                <w:b/>
                <w:sz w:val="22"/>
              </w:rPr>
              <w:t>28</w:t>
            </w:r>
            <w:r w:rsidR="00E352B5">
              <w:rPr>
                <w:b/>
                <w:sz w:val="22"/>
              </w:rPr>
              <w:t>.1</w:t>
            </w:r>
            <w:r w:rsidR="008C56F6">
              <w:rPr>
                <w:b/>
                <w:sz w:val="22"/>
              </w:rPr>
              <w:t>1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B30FE9">
              <w:rPr>
                <w:b/>
                <w:sz w:val="22"/>
              </w:rPr>
              <w:t>1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47210C">
              <w:rPr>
                <w:b/>
                <w:sz w:val="22"/>
                <w:szCs w:val="22"/>
              </w:rPr>
              <w:t>02</w:t>
            </w:r>
            <w:r w:rsidR="003F1640">
              <w:rPr>
                <w:b/>
                <w:sz w:val="22"/>
                <w:szCs w:val="22"/>
              </w:rPr>
              <w:t>.</w:t>
            </w:r>
            <w:r w:rsidR="0047210C">
              <w:rPr>
                <w:b/>
                <w:sz w:val="22"/>
                <w:szCs w:val="22"/>
              </w:rPr>
              <w:t>12.</w:t>
            </w:r>
            <w:r w:rsidRPr="000D4DEB">
              <w:rPr>
                <w:b/>
                <w:sz w:val="22"/>
                <w:szCs w:val="22"/>
              </w:rPr>
              <w:t>201</w:t>
            </w:r>
            <w:r w:rsidR="00BA3C56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47210C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</w:t>
            </w:r>
            <w:proofErr w:type="spellStart"/>
            <w:r w:rsidRPr="000D4DEB">
              <w:rPr>
                <w:sz w:val="22"/>
                <w:szCs w:val="22"/>
              </w:rPr>
              <w:t>г.Кинель</w:t>
            </w:r>
            <w:proofErr w:type="spellEnd"/>
            <w:r w:rsidRPr="000D4DEB">
              <w:rPr>
                <w:sz w:val="22"/>
                <w:szCs w:val="22"/>
              </w:rPr>
              <w:t>, улица Мира, 42А, каб.103.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BA3C56" w:rsidRDefault="00F42EC3" w:rsidP="00B0472C">
            <w:pPr>
              <w:rPr>
                <w:b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>,  ИНН 6350000872, КПП 635001001, БИК 043601001, ОКТМО 3670</w:t>
            </w:r>
            <w:r w:rsidR="00B0472C">
              <w:rPr>
                <w:sz w:val="22"/>
              </w:rPr>
              <w:t>8000,  КБК 60500000000000000000</w:t>
            </w:r>
            <w:r w:rsidR="00BA3C56">
              <w:rPr>
                <w:b/>
              </w:rPr>
              <w:t>.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B30FE9">
        <w:rPr>
          <w:b/>
          <w:sz w:val="22"/>
        </w:rPr>
        <w:t>03</w:t>
      </w:r>
      <w:r w:rsidR="003F1640" w:rsidRPr="003F1640">
        <w:rPr>
          <w:b/>
          <w:sz w:val="22"/>
        </w:rPr>
        <w:t>.</w:t>
      </w:r>
      <w:r w:rsidR="00B30FE9">
        <w:rPr>
          <w:b/>
          <w:sz w:val="22"/>
        </w:rPr>
        <w:t>12</w:t>
      </w:r>
      <w:r w:rsidR="00DA548F" w:rsidRPr="003F1640">
        <w:rPr>
          <w:b/>
          <w:sz w:val="22"/>
        </w:rPr>
        <w:t>.201</w:t>
      </w:r>
      <w:r w:rsidR="00BA3C56" w:rsidRPr="003F1640">
        <w:rPr>
          <w:b/>
          <w:sz w:val="22"/>
        </w:rPr>
        <w:t xml:space="preserve">9 в </w:t>
      </w:r>
      <w:r w:rsidR="008C56F6">
        <w:rPr>
          <w:b/>
          <w:sz w:val="22"/>
        </w:rPr>
        <w:t>1</w:t>
      </w:r>
      <w:r w:rsidR="0047210C">
        <w:rPr>
          <w:b/>
          <w:sz w:val="22"/>
        </w:rPr>
        <w:t>1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B30FE9" w:rsidRPr="00B30FE9">
        <w:rPr>
          <w:b/>
          <w:sz w:val="22"/>
          <w:szCs w:val="22"/>
        </w:rPr>
        <w:t>03.12.2019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</w:t>
      </w:r>
      <w:r w:rsidR="00E76470" w:rsidRPr="000D4DEB">
        <w:rPr>
          <w:sz w:val="22"/>
          <w:szCs w:val="22"/>
        </w:rPr>
        <w:lastRenderedPageBreak/>
        <w:t xml:space="preserve">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</w:t>
      </w:r>
      <w:proofErr w:type="gramStart"/>
      <w:r w:rsidR="00F44FFF">
        <w:rPr>
          <w:b/>
          <w:sz w:val="22"/>
        </w:rPr>
        <w:t>продажи</w:t>
      </w:r>
      <w:r w:rsidR="00E07318" w:rsidRPr="000D4DEB">
        <w:rPr>
          <w:b/>
          <w:sz w:val="22"/>
        </w:rPr>
        <w:t xml:space="preserve">  по</w:t>
      </w:r>
      <w:proofErr w:type="gramEnd"/>
      <w:r w:rsidR="00E07318" w:rsidRPr="000D4DEB">
        <w:rPr>
          <w:b/>
          <w:sz w:val="22"/>
        </w:rPr>
        <w:t xml:space="preserve">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r w:rsidRPr="000D4DEB">
          <w:rPr>
            <w:rStyle w:val="a3"/>
            <w:color w:val="000000"/>
            <w:sz w:val="22"/>
            <w:lang w:val="en-US"/>
          </w:rPr>
          <w:t>gov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07BF4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649"/>
    <w:rsid w:val="00011BE4"/>
    <w:rsid w:val="0003768F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500E1"/>
    <w:rsid w:val="00151468"/>
    <w:rsid w:val="0016151C"/>
    <w:rsid w:val="00172EB2"/>
    <w:rsid w:val="00184DE7"/>
    <w:rsid w:val="001B344D"/>
    <w:rsid w:val="00200E6E"/>
    <w:rsid w:val="00204B9B"/>
    <w:rsid w:val="00261516"/>
    <w:rsid w:val="002646B0"/>
    <w:rsid w:val="00281D98"/>
    <w:rsid w:val="00287438"/>
    <w:rsid w:val="002D1BC6"/>
    <w:rsid w:val="002D5AD6"/>
    <w:rsid w:val="002F4EC9"/>
    <w:rsid w:val="002F5C36"/>
    <w:rsid w:val="00341412"/>
    <w:rsid w:val="0039227B"/>
    <w:rsid w:val="003B3CFE"/>
    <w:rsid w:val="003F1640"/>
    <w:rsid w:val="003F4384"/>
    <w:rsid w:val="00402C6B"/>
    <w:rsid w:val="00405A74"/>
    <w:rsid w:val="00420FF8"/>
    <w:rsid w:val="00442174"/>
    <w:rsid w:val="0047210C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1151"/>
    <w:rsid w:val="00632C6F"/>
    <w:rsid w:val="00653693"/>
    <w:rsid w:val="00662D2A"/>
    <w:rsid w:val="006E6EAE"/>
    <w:rsid w:val="006F06F7"/>
    <w:rsid w:val="00705BDF"/>
    <w:rsid w:val="007105B7"/>
    <w:rsid w:val="00772E4C"/>
    <w:rsid w:val="007863F2"/>
    <w:rsid w:val="007878DB"/>
    <w:rsid w:val="007A6B2B"/>
    <w:rsid w:val="007C18F8"/>
    <w:rsid w:val="007C254F"/>
    <w:rsid w:val="007D70F4"/>
    <w:rsid w:val="007E7E90"/>
    <w:rsid w:val="0083478D"/>
    <w:rsid w:val="00835649"/>
    <w:rsid w:val="008934DD"/>
    <w:rsid w:val="008B43C9"/>
    <w:rsid w:val="008C56F6"/>
    <w:rsid w:val="008D3485"/>
    <w:rsid w:val="008D712C"/>
    <w:rsid w:val="00916079"/>
    <w:rsid w:val="00950CBA"/>
    <w:rsid w:val="00954383"/>
    <w:rsid w:val="0095490A"/>
    <w:rsid w:val="00973E49"/>
    <w:rsid w:val="009907A0"/>
    <w:rsid w:val="009F1CD2"/>
    <w:rsid w:val="00A03A15"/>
    <w:rsid w:val="00A110E4"/>
    <w:rsid w:val="00A402DB"/>
    <w:rsid w:val="00A91952"/>
    <w:rsid w:val="00A922A2"/>
    <w:rsid w:val="00A943FE"/>
    <w:rsid w:val="00AC01B7"/>
    <w:rsid w:val="00AC3EDC"/>
    <w:rsid w:val="00AD6561"/>
    <w:rsid w:val="00B02500"/>
    <w:rsid w:val="00B0472C"/>
    <w:rsid w:val="00B11429"/>
    <w:rsid w:val="00B14964"/>
    <w:rsid w:val="00B252C7"/>
    <w:rsid w:val="00B2603C"/>
    <w:rsid w:val="00B30FE9"/>
    <w:rsid w:val="00B362B6"/>
    <w:rsid w:val="00B51A06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738E7"/>
    <w:rsid w:val="00CA796D"/>
    <w:rsid w:val="00CC4CD5"/>
    <w:rsid w:val="00CD598A"/>
    <w:rsid w:val="00CE1ECF"/>
    <w:rsid w:val="00CF3C66"/>
    <w:rsid w:val="00D16FDE"/>
    <w:rsid w:val="00D86F18"/>
    <w:rsid w:val="00DA548F"/>
    <w:rsid w:val="00DB2798"/>
    <w:rsid w:val="00DF5582"/>
    <w:rsid w:val="00DF66BA"/>
    <w:rsid w:val="00E07318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1833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Fokin_new</cp:lastModifiedBy>
  <cp:revision>7</cp:revision>
  <cp:lastPrinted>2019-10-29T09:38:00Z</cp:lastPrinted>
  <dcterms:created xsi:type="dcterms:W3CDTF">2019-10-29T07:55:00Z</dcterms:created>
  <dcterms:modified xsi:type="dcterms:W3CDTF">2019-10-30T04:45:00Z</dcterms:modified>
</cp:coreProperties>
</file>